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9907" w14:textId="669E2376" w:rsidR="00C66C11" w:rsidRPr="00D47B72" w:rsidRDefault="000C7112" w:rsidP="000C7112">
      <w:pPr>
        <w:pStyle w:val="KeinLeerraum"/>
        <w:ind w:left="1416" w:firstLine="708"/>
        <w:rPr>
          <w:lang w:val="en-US"/>
        </w:rPr>
      </w:pPr>
      <w:r>
        <w:rPr>
          <w:noProof/>
        </w:rPr>
        <w:drawing>
          <wp:anchor distT="0" distB="0" distL="114300" distR="114300" simplePos="0" relativeHeight="251658240" behindDoc="1" locked="0" layoutInCell="1" allowOverlap="1" wp14:anchorId="203D9C21" wp14:editId="724ECDD0">
            <wp:simplePos x="0" y="0"/>
            <wp:positionH relativeFrom="column">
              <wp:posOffset>85725</wp:posOffset>
            </wp:positionH>
            <wp:positionV relativeFrom="paragraph">
              <wp:posOffset>-300355</wp:posOffset>
            </wp:positionV>
            <wp:extent cx="1414462" cy="14144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462" cy="141446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47B72" w:rsidRPr="00D47B72">
        <w:rPr>
          <w:lang w:val="en-US"/>
        </w:rPr>
        <w:t>Stichting</w:t>
      </w:r>
      <w:proofErr w:type="spellEnd"/>
      <w:r w:rsidR="00D47B72" w:rsidRPr="00D47B72">
        <w:rPr>
          <w:lang w:val="en-US"/>
        </w:rPr>
        <w:t xml:space="preserve">/Foundation </w:t>
      </w:r>
      <w:r w:rsidR="00D47B72" w:rsidRPr="00D47B72">
        <w:rPr>
          <w:b/>
          <w:bCs/>
          <w:lang w:val="en-US"/>
        </w:rPr>
        <w:t>FRONT-LEX</w:t>
      </w:r>
      <w:r w:rsidR="00B34EC4">
        <w:rPr>
          <w:b/>
          <w:bCs/>
          <w:lang w:val="en-US"/>
        </w:rPr>
        <w:t xml:space="preserve"> (Asylum and Migration Tribunal)</w:t>
      </w:r>
    </w:p>
    <w:p w14:paraId="79C43FC8" w14:textId="23BE2DA0" w:rsidR="00D47B72" w:rsidRPr="00B870AA" w:rsidRDefault="007251F1" w:rsidP="000C7112">
      <w:pPr>
        <w:pStyle w:val="KeinLeerraum"/>
        <w:ind w:left="1416" w:firstLine="708"/>
        <w:rPr>
          <w:lang w:val="nl-NL"/>
        </w:rPr>
      </w:pPr>
      <w:r>
        <w:rPr>
          <w:lang w:val="nl-NL"/>
        </w:rPr>
        <w:t>Amerbos 528</w:t>
      </w:r>
    </w:p>
    <w:p w14:paraId="5D150B64" w14:textId="21BF350A" w:rsidR="00D47B72" w:rsidRPr="00D47B72" w:rsidRDefault="00D47B72" w:rsidP="000C7112">
      <w:pPr>
        <w:pStyle w:val="KeinLeerraum"/>
        <w:ind w:left="1416" w:firstLine="708"/>
        <w:rPr>
          <w:lang w:val="nl-NL"/>
        </w:rPr>
      </w:pPr>
      <w:r w:rsidRPr="00D47B72">
        <w:rPr>
          <w:lang w:val="nl-NL"/>
        </w:rPr>
        <w:t>NL-10</w:t>
      </w:r>
      <w:r w:rsidR="007251F1">
        <w:rPr>
          <w:lang w:val="nl-NL"/>
        </w:rPr>
        <w:t>25 XT</w:t>
      </w:r>
      <w:r w:rsidRPr="00D47B72">
        <w:rPr>
          <w:lang w:val="nl-NL"/>
        </w:rPr>
        <w:t xml:space="preserve"> Amsterdam</w:t>
      </w:r>
    </w:p>
    <w:p w14:paraId="3D0716B2" w14:textId="156D7F57" w:rsidR="00D47B72" w:rsidRPr="00B870AA" w:rsidRDefault="00D47B72" w:rsidP="000C7112">
      <w:pPr>
        <w:pStyle w:val="KeinLeerraum"/>
        <w:ind w:left="1416" w:firstLine="708"/>
        <w:rPr>
          <w:lang w:val="nl-NL"/>
        </w:rPr>
      </w:pPr>
      <w:r w:rsidRPr="00B870AA">
        <w:rPr>
          <w:lang w:val="nl-NL"/>
        </w:rPr>
        <w:t>Tel.:+31-6-28 45 17 62</w:t>
      </w:r>
    </w:p>
    <w:p w14:paraId="2D1C180B" w14:textId="4EB43181" w:rsidR="00D47B72" w:rsidRPr="00B870AA" w:rsidRDefault="007251F1" w:rsidP="000C7112">
      <w:pPr>
        <w:pStyle w:val="KeinLeerraum"/>
        <w:ind w:left="1416" w:firstLine="708"/>
        <w:rPr>
          <w:rStyle w:val="Hyperlink"/>
          <w:color w:val="000000" w:themeColor="text1"/>
          <w:u w:val="none"/>
          <w:lang w:val="nl-NL"/>
        </w:rPr>
      </w:pPr>
      <w:hyperlink r:id="rId6" w:history="1">
        <w:r w:rsidR="000C7112" w:rsidRPr="00B870AA">
          <w:rPr>
            <w:rStyle w:val="Hyperlink"/>
            <w:color w:val="000000" w:themeColor="text1"/>
            <w:u w:val="none"/>
            <w:lang w:val="nl-NL"/>
          </w:rPr>
          <w:t>www.front-lex.eu</w:t>
        </w:r>
      </w:hyperlink>
      <w:r w:rsidR="00D47B72" w:rsidRPr="00B870AA">
        <w:rPr>
          <w:color w:val="000000" w:themeColor="text1"/>
          <w:lang w:val="nl-NL"/>
        </w:rPr>
        <w:t>,</w:t>
      </w:r>
      <w:r w:rsidR="00D47B72" w:rsidRPr="00B870AA">
        <w:rPr>
          <w:lang w:val="nl-NL"/>
        </w:rPr>
        <w:t xml:space="preserve"> </w:t>
      </w:r>
      <w:hyperlink r:id="rId7" w:history="1">
        <w:r w:rsidR="00EB10C4" w:rsidRPr="00B870AA">
          <w:rPr>
            <w:rStyle w:val="Hyperlink"/>
            <w:color w:val="000000" w:themeColor="text1"/>
            <w:u w:val="none"/>
            <w:lang w:val="nl-NL"/>
          </w:rPr>
          <w:t>Info@front-lex.eu</w:t>
        </w:r>
      </w:hyperlink>
    </w:p>
    <w:p w14:paraId="71DC0477" w14:textId="20A44AEF" w:rsidR="00B870AA" w:rsidRDefault="00B870AA" w:rsidP="000C7112">
      <w:pPr>
        <w:pStyle w:val="KeinLeerraum"/>
        <w:ind w:left="1416" w:firstLine="708"/>
        <w:rPr>
          <w:rStyle w:val="Hyperlink"/>
          <w:color w:val="000000" w:themeColor="text1"/>
          <w:u w:val="none"/>
          <w:lang w:val="nl-NL"/>
        </w:rPr>
      </w:pPr>
    </w:p>
    <w:p w14:paraId="0B8560D8" w14:textId="77777777" w:rsidR="00937E7B" w:rsidRDefault="00B870AA" w:rsidP="00B870AA">
      <w:pPr>
        <w:pStyle w:val="KeinLeerraum"/>
        <w:ind w:left="1416" w:hanging="1416"/>
        <w:rPr>
          <w:rStyle w:val="Hyperlink"/>
          <w:color w:val="000000" w:themeColor="text1"/>
          <w:u w:val="none"/>
          <w:lang w:val="nl-NL"/>
        </w:rPr>
      </w:pP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p>
    <w:p w14:paraId="59DB767C" w14:textId="393D9B8E" w:rsidR="00B870AA" w:rsidRDefault="00B870AA" w:rsidP="00937E7B">
      <w:pPr>
        <w:pStyle w:val="KeinLeerraum"/>
        <w:ind w:left="4956" w:firstLine="708"/>
        <w:rPr>
          <w:rStyle w:val="Hyperlink"/>
          <w:color w:val="000000" w:themeColor="text1"/>
          <w:u w:val="none"/>
          <w:lang w:val="nl-NL"/>
        </w:rPr>
      </w:pPr>
      <w:r>
        <w:rPr>
          <w:rStyle w:val="Hyperlink"/>
          <w:color w:val="000000" w:themeColor="text1"/>
          <w:u w:val="none"/>
          <w:lang w:val="nl-NL"/>
        </w:rPr>
        <w:t>Amsterdam, 2</w:t>
      </w:r>
      <w:r w:rsidR="001C5056">
        <w:rPr>
          <w:rStyle w:val="Hyperlink"/>
          <w:color w:val="000000" w:themeColor="text1"/>
          <w:u w:val="none"/>
          <w:lang w:val="nl-NL"/>
        </w:rPr>
        <w:t>4</w:t>
      </w:r>
      <w:r>
        <w:rPr>
          <w:rStyle w:val="Hyperlink"/>
          <w:color w:val="000000" w:themeColor="text1"/>
          <w:u w:val="none"/>
          <w:lang w:val="nl-NL"/>
        </w:rPr>
        <w:t xml:space="preserve"> januari 202</w:t>
      </w:r>
      <w:r w:rsidR="001C5056">
        <w:rPr>
          <w:rStyle w:val="Hyperlink"/>
          <w:color w:val="000000" w:themeColor="text1"/>
          <w:u w:val="none"/>
          <w:lang w:val="nl-NL"/>
        </w:rPr>
        <w:t>2</w:t>
      </w:r>
    </w:p>
    <w:p w14:paraId="03DA5F34" w14:textId="6B83052F" w:rsidR="00B870AA" w:rsidRDefault="00B870AA" w:rsidP="00B870AA">
      <w:pPr>
        <w:pStyle w:val="KeinLeerraum"/>
        <w:ind w:left="1416" w:hanging="1416"/>
        <w:rPr>
          <w:rStyle w:val="Hyperlink"/>
          <w:color w:val="000000" w:themeColor="text1"/>
          <w:u w:val="none"/>
          <w:lang w:val="nl-NL"/>
        </w:rPr>
      </w:pPr>
    </w:p>
    <w:p w14:paraId="1C6ADE3A" w14:textId="4ADC1E2D" w:rsidR="00B870AA" w:rsidRDefault="00B870AA" w:rsidP="00B870AA">
      <w:pPr>
        <w:pStyle w:val="KeinLeerraum"/>
        <w:ind w:left="1416" w:hanging="1416"/>
        <w:rPr>
          <w:rStyle w:val="Hyperlink"/>
          <w:color w:val="000000" w:themeColor="text1"/>
          <w:u w:val="none"/>
          <w:lang w:val="nl-NL"/>
        </w:rPr>
      </w:pPr>
    </w:p>
    <w:p w14:paraId="3EB03E09" w14:textId="77777777" w:rsidR="00F00F3E" w:rsidRDefault="00F00F3E" w:rsidP="00B870AA">
      <w:pPr>
        <w:pStyle w:val="KeinLeerraum"/>
        <w:ind w:left="1416" w:hanging="1416"/>
        <w:jc w:val="center"/>
        <w:rPr>
          <w:rStyle w:val="Hyperlink"/>
          <w:b/>
          <w:bCs/>
          <w:color w:val="000000" w:themeColor="text1"/>
          <w:sz w:val="40"/>
          <w:szCs w:val="40"/>
          <w:u w:val="none"/>
          <w:lang w:val="nl-NL"/>
        </w:rPr>
      </w:pPr>
    </w:p>
    <w:p w14:paraId="13ED14B5" w14:textId="77777777" w:rsidR="00937E7B" w:rsidRDefault="00937E7B" w:rsidP="00B870AA">
      <w:pPr>
        <w:pStyle w:val="KeinLeerraum"/>
        <w:ind w:left="1416" w:hanging="1416"/>
        <w:jc w:val="center"/>
        <w:rPr>
          <w:rStyle w:val="Hyperlink"/>
          <w:b/>
          <w:bCs/>
          <w:color w:val="000000" w:themeColor="text1"/>
          <w:sz w:val="40"/>
          <w:szCs w:val="40"/>
          <w:u w:val="none"/>
          <w:lang w:val="nl-NL"/>
        </w:rPr>
      </w:pPr>
    </w:p>
    <w:p w14:paraId="798332B7" w14:textId="77777777" w:rsidR="00937E7B" w:rsidRDefault="00937E7B" w:rsidP="00B870AA">
      <w:pPr>
        <w:pStyle w:val="KeinLeerraum"/>
        <w:ind w:left="1416" w:hanging="1416"/>
        <w:jc w:val="center"/>
        <w:rPr>
          <w:rStyle w:val="Hyperlink"/>
          <w:b/>
          <w:bCs/>
          <w:color w:val="000000" w:themeColor="text1"/>
          <w:sz w:val="40"/>
          <w:szCs w:val="40"/>
          <w:u w:val="none"/>
          <w:lang w:val="nl-NL"/>
        </w:rPr>
      </w:pPr>
    </w:p>
    <w:p w14:paraId="5634E589" w14:textId="3F6275D5" w:rsidR="00B870AA" w:rsidRDefault="00B870AA" w:rsidP="00B870AA">
      <w:pPr>
        <w:pStyle w:val="KeinLeerraum"/>
        <w:ind w:left="1416" w:hanging="1416"/>
        <w:jc w:val="center"/>
        <w:rPr>
          <w:rStyle w:val="Hyperlink"/>
          <w:b/>
          <w:bCs/>
          <w:color w:val="000000" w:themeColor="text1"/>
          <w:sz w:val="40"/>
          <w:szCs w:val="40"/>
          <w:u w:val="none"/>
          <w:lang w:val="nl-NL"/>
        </w:rPr>
      </w:pPr>
      <w:r w:rsidRPr="00B870AA">
        <w:rPr>
          <w:rStyle w:val="Hyperlink"/>
          <w:b/>
          <w:bCs/>
          <w:color w:val="000000" w:themeColor="text1"/>
          <w:sz w:val="40"/>
          <w:szCs w:val="40"/>
          <w:u w:val="none"/>
          <w:lang w:val="nl-NL"/>
        </w:rPr>
        <w:t>Jaarverslag</w:t>
      </w:r>
      <w:r>
        <w:rPr>
          <w:rStyle w:val="Hyperlink"/>
          <w:b/>
          <w:bCs/>
          <w:color w:val="000000" w:themeColor="text1"/>
          <w:sz w:val="40"/>
          <w:szCs w:val="40"/>
          <w:u w:val="none"/>
          <w:lang w:val="nl-NL"/>
        </w:rPr>
        <w:t xml:space="preserve"> 202</w:t>
      </w:r>
      <w:r w:rsidR="001C5056">
        <w:rPr>
          <w:rStyle w:val="Hyperlink"/>
          <w:b/>
          <w:bCs/>
          <w:color w:val="000000" w:themeColor="text1"/>
          <w:sz w:val="40"/>
          <w:szCs w:val="40"/>
          <w:u w:val="none"/>
          <w:lang w:val="nl-NL"/>
        </w:rPr>
        <w:t>1</w:t>
      </w:r>
      <w:r>
        <w:rPr>
          <w:rStyle w:val="Hyperlink"/>
          <w:b/>
          <w:bCs/>
          <w:color w:val="000000" w:themeColor="text1"/>
          <w:sz w:val="40"/>
          <w:szCs w:val="40"/>
          <w:u w:val="none"/>
          <w:lang w:val="nl-NL"/>
        </w:rPr>
        <w:t>:</w:t>
      </w:r>
    </w:p>
    <w:p w14:paraId="3F4F44DF" w14:textId="77777777" w:rsidR="007251F1" w:rsidRDefault="007251F1" w:rsidP="00B870AA">
      <w:pPr>
        <w:pStyle w:val="KeinLeerraum"/>
        <w:ind w:left="1416" w:hanging="1416"/>
        <w:jc w:val="center"/>
        <w:rPr>
          <w:rStyle w:val="Hyperlink"/>
          <w:b/>
          <w:bCs/>
          <w:color w:val="000000" w:themeColor="text1"/>
          <w:sz w:val="40"/>
          <w:szCs w:val="40"/>
          <w:u w:val="none"/>
          <w:lang w:val="nl-NL"/>
        </w:rPr>
      </w:pPr>
    </w:p>
    <w:p w14:paraId="22255D71" w14:textId="77777777" w:rsidR="00F00F3E" w:rsidRDefault="00F00F3E" w:rsidP="00B870AA">
      <w:pPr>
        <w:autoSpaceDE w:val="0"/>
        <w:autoSpaceDN w:val="0"/>
        <w:adjustRightInd w:val="0"/>
        <w:spacing w:after="0" w:line="240" w:lineRule="auto"/>
        <w:rPr>
          <w:rFonts w:cs="Meta-Roman"/>
          <w:lang w:val="nl-NL"/>
        </w:rPr>
      </w:pPr>
    </w:p>
    <w:p w14:paraId="2F6288ED" w14:textId="0E756647"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 xml:space="preserve">In 2021 hebben wij besloten </w:t>
      </w:r>
      <w:r>
        <w:rPr>
          <w:rStyle w:val="Hyperlink"/>
          <w:rFonts w:cs="Meta-Roman"/>
          <w:color w:val="auto"/>
          <w:u w:val="none"/>
          <w:lang w:val="nl-NL"/>
        </w:rPr>
        <w:t xml:space="preserve">te </w:t>
      </w:r>
      <w:r w:rsidRPr="003C1A5D">
        <w:rPr>
          <w:rStyle w:val="Hyperlink"/>
          <w:rFonts w:cs="Meta-Roman"/>
          <w:color w:val="auto"/>
          <w:u w:val="none"/>
          <w:lang w:val="nl-NL"/>
        </w:rPr>
        <w:t>samen</w:t>
      </w:r>
      <w:r>
        <w:rPr>
          <w:rStyle w:val="Hyperlink"/>
          <w:rFonts w:cs="Meta-Roman"/>
          <w:color w:val="auto"/>
          <w:u w:val="none"/>
          <w:lang w:val="nl-NL"/>
        </w:rPr>
        <w:t xml:space="preserve">werking met de </w:t>
      </w:r>
      <w:r w:rsidRPr="003C1A5D">
        <w:rPr>
          <w:rStyle w:val="Hyperlink"/>
          <w:rFonts w:cs="Meta-Roman"/>
          <w:color w:val="auto"/>
          <w:u w:val="none"/>
          <w:lang w:val="nl-NL"/>
        </w:rPr>
        <w:t xml:space="preserve">twee advocaten, Omer Shatz en Iftach Cohen, </w:t>
      </w:r>
      <w:r>
        <w:rPr>
          <w:rStyle w:val="Hyperlink"/>
          <w:rFonts w:cs="Meta-Roman"/>
          <w:color w:val="auto"/>
          <w:u w:val="none"/>
          <w:lang w:val="nl-NL"/>
        </w:rPr>
        <w:t xml:space="preserve">welke in 2019 begonnen was, te versterken </w:t>
      </w:r>
      <w:r w:rsidRPr="003C1A5D">
        <w:rPr>
          <w:rStyle w:val="Hyperlink"/>
          <w:rFonts w:cs="Meta-Roman"/>
          <w:color w:val="auto"/>
          <w:u w:val="none"/>
          <w:lang w:val="nl-NL"/>
        </w:rPr>
        <w:t xml:space="preserve">om echte rechtszaken aan te spannen voor gewone rechtbanken, parallel aan de voorbereiding van het Tribunaal. Een eerste rechtszaak was die tegen het grensagentschap Frontex voor het Hof van Justitie in Luxemburg wegens illegale push-backs. De eerste rechtszaak tegen Frontex sinds zijn 17-jarig bestaan. De reactie was een navenant grote media-echo. </w:t>
      </w:r>
    </w:p>
    <w:p w14:paraId="48E15DED"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722BBD9E" w14:textId="08DD266A"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Voor ons was dit ook een reden om onze stichting front-LEX te hernoemen. Van nu af aan was er een onafhankelijke juridische afdeling onder leiding van Omer Schatz met een jaarlijks budget van ongeveer 120.000 euro.</w:t>
      </w:r>
    </w:p>
    <w:p w14:paraId="271777C4"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13164838" w14:textId="4A5A6A14"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 xml:space="preserve">In mei 2021 hebben Victor de Jong en Esther van Elmeren hun functies als voorzitter en secretaris neergelegd wegens andere verplichtingen. Zij werden vervangen door de huidige voorzitter Christiane Lüst uit München en Marie-Claude Barbier uit Allschwil, die de functie van secretaris op zich nam. </w:t>
      </w:r>
    </w:p>
    <w:p w14:paraId="09A44CDF"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58DD3C85" w14:textId="77777777" w:rsidR="003C1A5D" w:rsidRP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Onze werkzaamheden voor het Tribunaal concentreerden zich nu op het vaststellen van de tenlasteleggingen voor personen uit Zwitserland, Duitsland, Oostenrijk, Frankrijk, België en Nederland die in staat van beschuldiging zullen worden gesteld.</w:t>
      </w:r>
    </w:p>
    <w:p w14:paraId="3A67B2A7" w14:textId="7F25C50C"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 xml:space="preserve">Voorts is op verzoek van rechters uit Duitsland een statuut voor het Tribunaal opgesteld door onze advocaten uit Frankrijk. </w:t>
      </w:r>
    </w:p>
    <w:p w14:paraId="67056CD8"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373D7F91" w14:textId="562D94AD"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Een prioriteit was het vinden van rechters, een openbare aanklager en een griffier voor het Tribunaal.</w:t>
      </w:r>
    </w:p>
    <w:p w14:paraId="2DAD9481"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4D53C1C8" w14:textId="7726E2AA"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Naast de Sandrose Stichting uit Zwitserland, die ons vanaf het begin heeft gesteund, en kleinere donaties, ontvingen wij bijna 80.000 euro van de "Civilian Sea Rescue" Stichting en ongeveer 40.000 euro van de Open Society Foundation. Van deze middelen bleef ongeveer 100.000 euro over voor het jaar 2022.</w:t>
      </w:r>
    </w:p>
    <w:p w14:paraId="29D290BD"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213DE2E9" w14:textId="0E077B9A"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Om de twee weken werd een virtuele vergadering gehouden met alle deelnemers.</w:t>
      </w:r>
    </w:p>
    <w:p w14:paraId="501D8DB9"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5E36C289" w14:textId="18D2D6B0" w:rsid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lastRenderedPageBreak/>
        <w:t xml:space="preserve">In november vond de eerste fysieke vergadering van het comité plaats, die drie dagen duurde en plaatsvond in Brussel, waar het tribunaal in september 2022 zou worden gehouden. </w:t>
      </w:r>
    </w:p>
    <w:p w14:paraId="6B82E7AA" w14:textId="77777777" w:rsidR="00937E7B" w:rsidRPr="003C1A5D" w:rsidRDefault="00937E7B" w:rsidP="003C1A5D">
      <w:pPr>
        <w:pStyle w:val="Listenabsatz"/>
        <w:autoSpaceDE w:val="0"/>
        <w:autoSpaceDN w:val="0"/>
        <w:adjustRightInd w:val="0"/>
        <w:spacing w:after="0" w:line="240" w:lineRule="auto"/>
        <w:ind w:left="142"/>
        <w:rPr>
          <w:rStyle w:val="Hyperlink"/>
          <w:rFonts w:cs="Meta-Roman"/>
          <w:color w:val="auto"/>
          <w:u w:val="none"/>
          <w:lang w:val="nl-NL"/>
        </w:rPr>
      </w:pPr>
    </w:p>
    <w:p w14:paraId="75D1DCF4" w14:textId="77777777" w:rsidR="003C1A5D" w:rsidRPr="003C1A5D"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Wij bezochten EU-parlementsleden in het Europees Parlement, legden contacten met Belgische advocaten, inspecteerden mogelijke gebouwen voor het Tribunaal en legden ook contacten met enkele stichtingen.</w:t>
      </w:r>
    </w:p>
    <w:p w14:paraId="629A88A3" w14:textId="0F167F05" w:rsidR="002035F8" w:rsidRDefault="003C1A5D" w:rsidP="003C1A5D">
      <w:pPr>
        <w:pStyle w:val="Listenabsatz"/>
        <w:autoSpaceDE w:val="0"/>
        <w:autoSpaceDN w:val="0"/>
        <w:adjustRightInd w:val="0"/>
        <w:spacing w:after="0" w:line="240" w:lineRule="auto"/>
        <w:ind w:left="142"/>
        <w:rPr>
          <w:rStyle w:val="Hyperlink"/>
          <w:rFonts w:cs="Meta-Roman"/>
          <w:color w:val="auto"/>
          <w:u w:val="none"/>
          <w:lang w:val="nl-NL"/>
        </w:rPr>
      </w:pPr>
      <w:r w:rsidRPr="003C1A5D">
        <w:rPr>
          <w:rStyle w:val="Hyperlink"/>
          <w:rFonts w:cs="Meta-Roman"/>
          <w:color w:val="auto"/>
          <w:u w:val="none"/>
          <w:lang w:val="nl-NL"/>
        </w:rPr>
        <w:t>Bovendien ontmoetten wij de Belgische filmmaker en Brussel-deskundige Daniel Demustier, die het Tribunaal zou begeleiden met een filmdocumentaire, zoals Marie-Monique Robin had gedaan voor het Monsanto Tribunaal.</w:t>
      </w:r>
    </w:p>
    <w:p w14:paraId="7A42395C" w14:textId="599F6526"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52F83DD7" w14:textId="1869558C"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1C0399AE" w14:textId="512B5611"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0691AA50" w14:textId="010B4CD6"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r>
        <w:rPr>
          <w:rStyle w:val="Hyperlink"/>
          <w:rFonts w:cs="Meta-Roman"/>
          <w:color w:val="auto"/>
          <w:u w:val="none"/>
          <w:lang w:val="nl-NL"/>
        </w:rPr>
        <w:t>René Lehnherr, Penningmeester</w:t>
      </w:r>
      <w:r>
        <w:rPr>
          <w:rStyle w:val="Hyperlink"/>
          <w:rFonts w:cs="Meta-Roman"/>
          <w:color w:val="auto"/>
          <w:u w:val="none"/>
          <w:lang w:val="nl-NL"/>
        </w:rPr>
        <w:tab/>
      </w:r>
      <w:r>
        <w:rPr>
          <w:rStyle w:val="Hyperlink"/>
          <w:rFonts w:cs="Meta-Roman"/>
          <w:color w:val="auto"/>
          <w:u w:val="none"/>
          <w:lang w:val="nl-NL"/>
        </w:rPr>
        <w:tab/>
      </w:r>
      <w:r>
        <w:rPr>
          <w:rStyle w:val="Hyperlink"/>
          <w:rFonts w:cs="Meta-Roman"/>
          <w:color w:val="auto"/>
          <w:u w:val="none"/>
          <w:lang w:val="nl-NL"/>
        </w:rPr>
        <w:tab/>
        <w:t>2</w:t>
      </w:r>
      <w:r w:rsidR="001C5056">
        <w:rPr>
          <w:rStyle w:val="Hyperlink"/>
          <w:rFonts w:cs="Meta-Roman"/>
          <w:color w:val="auto"/>
          <w:u w:val="none"/>
          <w:lang w:val="nl-NL"/>
        </w:rPr>
        <w:t>4</w:t>
      </w:r>
      <w:r>
        <w:rPr>
          <w:rStyle w:val="Hyperlink"/>
          <w:rFonts w:cs="Meta-Roman"/>
          <w:color w:val="auto"/>
          <w:u w:val="none"/>
          <w:lang w:val="nl-NL"/>
        </w:rPr>
        <w:t xml:space="preserve"> januari 202</w:t>
      </w:r>
      <w:r w:rsidR="001C5056">
        <w:rPr>
          <w:rStyle w:val="Hyperlink"/>
          <w:rFonts w:cs="Meta-Roman"/>
          <w:color w:val="auto"/>
          <w:u w:val="none"/>
          <w:lang w:val="nl-NL"/>
        </w:rPr>
        <w:t>2</w:t>
      </w:r>
    </w:p>
    <w:p w14:paraId="520614F3" w14:textId="7E8A7FB3"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1958FB11" w14:textId="77777777"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1C53902B" w14:textId="4CCE7552"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2777B15E" w14:textId="02A4923A" w:rsidR="002035F8" w:rsidRPr="0027055D"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r>
      <w:r>
        <w:rPr>
          <w:rStyle w:val="Hyperlink"/>
          <w:rFonts w:cs="Meta-Roman"/>
          <w:color w:val="auto"/>
          <w:u w:val="none"/>
          <w:lang w:val="nl-NL"/>
        </w:rPr>
        <w:softHyphen/>
        <w:t>………………………………………………………</w:t>
      </w:r>
    </w:p>
    <w:p w14:paraId="0D94CADB" w14:textId="77777777" w:rsidR="00B870AA" w:rsidRPr="0027055D" w:rsidRDefault="00B870AA" w:rsidP="00B870AA">
      <w:pPr>
        <w:pStyle w:val="KeinLeerraum"/>
        <w:rPr>
          <w:b/>
          <w:bCs/>
          <w:color w:val="000000" w:themeColor="text1"/>
          <w:sz w:val="40"/>
          <w:szCs w:val="40"/>
          <w:lang w:val="nl-NL"/>
        </w:rPr>
      </w:pPr>
    </w:p>
    <w:p w14:paraId="2A31E868" w14:textId="1565621F" w:rsidR="00EB10C4" w:rsidRPr="0027055D" w:rsidRDefault="00EB10C4" w:rsidP="000C7112">
      <w:pPr>
        <w:pStyle w:val="KeinLeerraum"/>
        <w:ind w:left="1416" w:firstLine="708"/>
        <w:rPr>
          <w:lang w:val="nl-NL"/>
        </w:rPr>
      </w:pPr>
    </w:p>
    <w:p w14:paraId="6D71F462" w14:textId="77777777" w:rsidR="00EB10C4" w:rsidRPr="00B870AA" w:rsidRDefault="00EB10C4" w:rsidP="000C7112">
      <w:pPr>
        <w:pStyle w:val="KeinLeerraum"/>
        <w:ind w:left="1416" w:firstLine="708"/>
        <w:rPr>
          <w:lang w:val="nl-NL"/>
        </w:rPr>
      </w:pPr>
    </w:p>
    <w:p w14:paraId="6A6E5FC8" w14:textId="11C33273" w:rsidR="00D47B72" w:rsidRPr="00B870AA" w:rsidRDefault="00D47B72">
      <w:pPr>
        <w:rPr>
          <w:lang w:val="nl-NL"/>
        </w:rPr>
      </w:pPr>
    </w:p>
    <w:p w14:paraId="6E909A54" w14:textId="4D46A67D" w:rsidR="00D47B72" w:rsidRPr="00B870AA" w:rsidRDefault="00D47B72">
      <w:pPr>
        <w:rPr>
          <w:lang w:val="nl-NL"/>
        </w:rPr>
      </w:pPr>
    </w:p>
    <w:sectPr w:rsidR="00D47B72" w:rsidRPr="00B870AA" w:rsidSect="00D47B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7D59"/>
    <w:multiLevelType w:val="hybridMultilevel"/>
    <w:tmpl w:val="00B8D988"/>
    <w:lvl w:ilvl="0" w:tplc="00B8F4EE">
      <w:numFmt w:val="bullet"/>
      <w:lvlText w:val="-"/>
      <w:lvlJc w:val="left"/>
      <w:pPr>
        <w:ind w:left="720" w:hanging="360"/>
      </w:pPr>
      <w:rPr>
        <w:rFonts w:ascii="Meta-Roman" w:eastAsiaTheme="minorHAnsi" w:hAnsi="Meta-Roman" w:cs="Meta-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2"/>
    <w:rsid w:val="000C7112"/>
    <w:rsid w:val="001C5056"/>
    <w:rsid w:val="002035F8"/>
    <w:rsid w:val="0027055D"/>
    <w:rsid w:val="002B190B"/>
    <w:rsid w:val="002F7D64"/>
    <w:rsid w:val="003C1A5D"/>
    <w:rsid w:val="005C3D26"/>
    <w:rsid w:val="00625D08"/>
    <w:rsid w:val="007251F1"/>
    <w:rsid w:val="008B0D04"/>
    <w:rsid w:val="00937E7B"/>
    <w:rsid w:val="00B34EC4"/>
    <w:rsid w:val="00B870AA"/>
    <w:rsid w:val="00C66C11"/>
    <w:rsid w:val="00D47B72"/>
    <w:rsid w:val="00D869C9"/>
    <w:rsid w:val="00DE350F"/>
    <w:rsid w:val="00E13764"/>
    <w:rsid w:val="00EB10C4"/>
    <w:rsid w:val="00F00F3E"/>
    <w:rsid w:val="00F46E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0C8"/>
  <w15:chartTrackingRefBased/>
  <w15:docId w15:val="{A8053036-E8B8-42D7-AC6F-2FAAEB2B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B72"/>
    <w:rPr>
      <w:color w:val="0563C1" w:themeColor="hyperlink"/>
      <w:u w:val="single"/>
    </w:rPr>
  </w:style>
  <w:style w:type="character" w:styleId="NichtaufgelsteErwhnung">
    <w:name w:val="Unresolved Mention"/>
    <w:basedOn w:val="Absatz-Standardschriftart"/>
    <w:uiPriority w:val="99"/>
    <w:semiHidden/>
    <w:unhideWhenUsed/>
    <w:rsid w:val="00D47B72"/>
    <w:rPr>
      <w:color w:val="605E5C"/>
      <w:shd w:val="clear" w:color="auto" w:fill="E1DFDD"/>
    </w:rPr>
  </w:style>
  <w:style w:type="paragraph" w:styleId="KeinLeerraum">
    <w:name w:val="No Spacing"/>
    <w:uiPriority w:val="1"/>
    <w:qFormat/>
    <w:rsid w:val="00D47B72"/>
    <w:pPr>
      <w:spacing w:after="0" w:line="240" w:lineRule="auto"/>
    </w:pPr>
  </w:style>
  <w:style w:type="paragraph" w:styleId="Listenabsatz">
    <w:name w:val="List Paragraph"/>
    <w:basedOn w:val="Standard"/>
    <w:uiPriority w:val="34"/>
    <w:qFormat/>
    <w:rsid w:val="00D8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ront-lex.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nt-lex.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Lehnherr</dc:creator>
  <cp:keywords/>
  <dc:description/>
  <cp:lastModifiedBy>Rene Lehnherr</cp:lastModifiedBy>
  <cp:revision>17</cp:revision>
  <cp:lastPrinted>2021-04-24T13:19:00Z</cp:lastPrinted>
  <dcterms:created xsi:type="dcterms:W3CDTF">2021-04-23T11:27:00Z</dcterms:created>
  <dcterms:modified xsi:type="dcterms:W3CDTF">2022-03-05T14:19:00Z</dcterms:modified>
</cp:coreProperties>
</file>